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80" w:rsidRPr="00341C80" w:rsidRDefault="00341C80" w:rsidP="00341C80">
      <w:pPr>
        <w:shd w:val="clear" w:color="auto" w:fill="FFFFFF"/>
        <w:spacing w:after="135" w:line="276" w:lineRule="auto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341C80">
        <w:rPr>
          <w:rFonts w:eastAsia="Times New Roman" w:cs="Times New Roman"/>
          <w:b/>
          <w:kern w:val="36"/>
          <w:szCs w:val="28"/>
        </w:rPr>
        <w:fldChar w:fldCharType="begin"/>
      </w:r>
      <w:r w:rsidRPr="00341C80">
        <w:rPr>
          <w:rFonts w:eastAsia="Times New Roman" w:cs="Times New Roman"/>
          <w:b/>
          <w:kern w:val="36"/>
          <w:szCs w:val="28"/>
        </w:rPr>
        <w:instrText xml:space="preserve"> HYPERLINK "https://tuyentruyenphapluat.tphcm.gov.vn/index.php/outlinelegaldoc/584/gi%E1%BB%9Bi-thi%E1%BB%87u-ngh%E1%BB%8B-%C4%91%E1%BB%8Bnh-s%E1%BB%91-87-2023-n%C4%91-cp-quy-%C4%91%E1%BB%8Bnh-v%E1%BB%81-ph%C3%B2ng-ch%E1%BB%91ng-ti%E1%BB%81n-gi%E1%BA%A3-v%C3%A0-b/" </w:instrText>
      </w:r>
      <w:r w:rsidRPr="00341C80">
        <w:rPr>
          <w:rFonts w:eastAsia="Times New Roman" w:cs="Times New Roman"/>
          <w:b/>
          <w:kern w:val="36"/>
          <w:szCs w:val="28"/>
        </w:rPr>
        <w:fldChar w:fldCharType="separate"/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Giới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thiệu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Nghị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định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số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87/2023/NĐ-CP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quy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định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về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phòng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,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chống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tiền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giả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và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bảo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vệ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tiền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</w:t>
      </w:r>
      <w:proofErr w:type="spellStart"/>
      <w:r w:rsidRPr="00341C80">
        <w:rPr>
          <w:rFonts w:eastAsia="Times New Roman" w:cs="Times New Roman"/>
          <w:b/>
          <w:kern w:val="36"/>
          <w:szCs w:val="28"/>
        </w:rPr>
        <w:t>Việt</w:t>
      </w:r>
      <w:proofErr w:type="spellEnd"/>
      <w:r w:rsidRPr="00341C80">
        <w:rPr>
          <w:rFonts w:eastAsia="Times New Roman" w:cs="Times New Roman"/>
          <w:b/>
          <w:kern w:val="36"/>
          <w:szCs w:val="28"/>
        </w:rPr>
        <w:t xml:space="preserve"> Nam</w:t>
      </w:r>
      <w:r w:rsidRPr="00341C80">
        <w:rPr>
          <w:rFonts w:eastAsia="Times New Roman" w:cs="Times New Roman"/>
          <w:b/>
          <w:kern w:val="36"/>
          <w:szCs w:val="28"/>
        </w:rPr>
        <w:fldChar w:fldCharType="end"/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08/12/2023,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Chính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phủ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87/2023/NĐ-CP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phòng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chống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vệ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Nam.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87/2023/NĐ-CP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02/02/2024,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một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dung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đáng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ý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như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sau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: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tượng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2)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1.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Quốc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phòng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Nam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sau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đây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gọi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tắt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),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chính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tin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2.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3.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phòng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chống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vệ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Nam.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4)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1.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dịch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mặt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Kho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thẩm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chiếu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với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điểm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cùng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loại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báo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điểm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biết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Nam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</w:t>
      </w:r>
      <w:bookmarkStart w:id="0" w:name="_GoBack"/>
      <w:bookmarkEnd w:id="0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xác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hay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Kho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thẩm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Mẫu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01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lục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kèm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;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Mẫu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02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lục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kèm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2.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thời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05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làm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nhiệm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01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hồ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yêu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cầu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01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hồ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khoản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2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5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gửi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Bộ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3.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chấp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Kho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báo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ngay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gần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nhất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xử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lý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4.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dấu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làm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chuyển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nhiệm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tin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báo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hình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sự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tiếp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quyết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tin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báo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hình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sự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8)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lastRenderedPageBreak/>
        <w:t xml:space="preserve">1.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Kho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gần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nhất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thẩm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chuyển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2.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bằng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văn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rõ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loại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lượng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mệnh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vần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seri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Mẫu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04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lục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kèm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3.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- Thu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9)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1.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kiểm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tờ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miếng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bằng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văn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Mẫu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04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lục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kèm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rõ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loại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lượng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mệnh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vần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seri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nộp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2.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gồm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giả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đủ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tiêu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chuẩn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xác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minh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rách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hư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hỏng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dạng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do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13)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1.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dịch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mặt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hợp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đồng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rách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hư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hỏng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dạng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do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trình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lưu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không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phải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do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trình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),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tổ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chức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chi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nhánh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ngoài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Kho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lập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biên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bản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Mẫu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05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Phụ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lục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ban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kèm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theo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tạm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giữ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chuyển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ngay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thẩm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gần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nhất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xác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minh,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kết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341C80" w:rsidRPr="00341C80" w:rsidRDefault="00341C80" w:rsidP="00341C8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2.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thời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gian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07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làm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kể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công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an,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quan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thẩm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quyền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quân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xác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minh,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kết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với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tiền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rách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nát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hư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hỏng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hoặc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biến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dạng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do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hành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hủy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hoại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trái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pháp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C32403" w:rsidRPr="00341C80" w:rsidRDefault="00341C80" w:rsidP="00341C80">
      <w:pPr>
        <w:spacing w:line="276" w:lineRule="auto"/>
        <w:rPr>
          <w:rFonts w:cs="Times New Roman"/>
          <w:szCs w:val="28"/>
        </w:rPr>
      </w:pP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Nghị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định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87/2023/NĐ-CP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hiệu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lực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>ngày</w:t>
      </w:r>
      <w:proofErr w:type="spellEnd"/>
      <w:r w:rsidRPr="00341C80">
        <w:rPr>
          <w:rFonts w:eastAsia="Times New Roman" w:cs="Times New Roman"/>
          <w:color w:val="333333"/>
          <w:szCs w:val="28"/>
          <w:shd w:val="clear" w:color="auto" w:fill="FFFFFF"/>
        </w:rPr>
        <w:t xml:space="preserve"> 02/02/2024./.</w:t>
      </w:r>
    </w:p>
    <w:sectPr w:rsidR="00C32403" w:rsidRPr="00341C80" w:rsidSect="00341C80">
      <w:pgSz w:w="12240" w:h="15840"/>
      <w:pgMar w:top="851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45BE"/>
    <w:multiLevelType w:val="multilevel"/>
    <w:tmpl w:val="803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80"/>
    <w:rsid w:val="00341C80"/>
    <w:rsid w:val="00C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50A5"/>
  <w15:chartTrackingRefBased/>
  <w15:docId w15:val="{EF117E21-F233-4D56-918E-FD00B5C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93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3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0F0F0"/>
                            <w:right w:val="none" w:sz="0" w:space="0" w:color="auto"/>
                          </w:divBdr>
                        </w:div>
                        <w:div w:id="19515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D21F0-60C8-44AF-8DC9-E4D9C44FD236}"/>
</file>

<file path=customXml/itemProps2.xml><?xml version="1.0" encoding="utf-8"?>
<ds:datastoreItem xmlns:ds="http://schemas.openxmlformats.org/officeDocument/2006/customXml" ds:itemID="{EB9CBB6D-F8F6-4947-96B4-8F4BE577E96D}"/>
</file>

<file path=customXml/itemProps3.xml><?xml version="1.0" encoding="utf-8"?>
<ds:datastoreItem xmlns:ds="http://schemas.openxmlformats.org/officeDocument/2006/customXml" ds:itemID="{5910C3DE-2A45-43A7-9A10-387765D1F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2024-05-22T08:54:00Z</dcterms:created>
  <dcterms:modified xsi:type="dcterms:W3CDTF">2024-05-22T08:56:00Z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